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1B" w:rsidRPr="002D6C1B" w:rsidRDefault="002D6C1B" w:rsidP="002D6C1B">
      <w:pPr>
        <w:jc w:val="center"/>
        <w:rPr>
          <w:b/>
          <w:sz w:val="24"/>
          <w:lang w:eastAsia="pl-PL"/>
        </w:rPr>
      </w:pPr>
      <w:bookmarkStart w:id="0" w:name="_GoBack"/>
      <w:bookmarkEnd w:id="0"/>
      <w:r w:rsidRPr="002D6C1B">
        <w:rPr>
          <w:b/>
          <w:sz w:val="24"/>
          <w:lang w:eastAsia="pl-PL"/>
        </w:rPr>
        <w:t>Analiza SWOT</w:t>
      </w:r>
    </w:p>
    <w:p w:rsidR="002D6C1B" w:rsidRDefault="002D6C1B" w:rsidP="002D6C1B">
      <w:pPr>
        <w:rPr>
          <w:lang w:eastAsia="pl-PL"/>
        </w:rPr>
      </w:pPr>
      <w:r>
        <w:rPr>
          <w:lang w:eastAsia="pl-PL"/>
        </w:rPr>
        <w:t xml:space="preserve">Analiza SWOT to najpopularniejsza i najskuteczniejsza metoda analityczna identyfikacji słabych i silnych stron obszaru, oraz badania szans i zagrożeń, jakie stoją przed nimi. Określa ona cztery kategorie czynników: 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zależne (wewnętrzne) pozytywne – mocne strony, czyli atuty obszaru. Są to walory obszaru, które w pozytywny sposób wyróżniają go spośród konkurencji;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zależne (wewnętrzne) negatywne – słabe strony obszaru. Wynikają z ograniczeń zasobów i niedostatecznych kwalifikacji. Mogą one dotyczyć całego obszaru, jak i jego części. Duża ilość słabych stron może spowodować brak możliwości kreowania rozwoju na danym obszarze;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 xml:space="preserve">czynniki niezależne (zewnętrzne) pozytywne, czyli szanse – zjawiska i tendencje w otoczeniu zewnętrznym, które, jeśli je odpowiednio wykorzystamy, staną się impulsem rozwoju oraz osłabią zagrożenia; </w:t>
      </w:r>
    </w:p>
    <w:p w:rsidR="002D6C1B" w:rsidRDefault="002D6C1B" w:rsidP="002D6C1B">
      <w:pPr>
        <w:pStyle w:val="wypunktowanie"/>
        <w:rPr>
          <w:lang w:eastAsia="pl-PL"/>
        </w:rPr>
      </w:pPr>
      <w:r>
        <w:rPr>
          <w:lang w:eastAsia="pl-PL"/>
        </w:rPr>
        <w:t>czynniki niezależne (zewnętrzne) negatywne, czyli zagrożenia – wszystkie czynniki zewnętrzne, tendencje, które są postrzegane jako bariery. Hamują one rozwój obszaru mimo podejmowanych działań na rzecz jego rozwoju, nie pozwalając na pełne wykorzystanie szans i mocnych stron.</w:t>
      </w:r>
    </w:p>
    <w:p w:rsidR="002D6C1B" w:rsidRDefault="002D6C1B" w:rsidP="002D6C1B">
      <w:pPr>
        <w:pStyle w:val="wypunktowanie"/>
        <w:numPr>
          <w:ilvl w:val="0"/>
          <w:numId w:val="0"/>
        </w:numPr>
        <w:ind w:left="720"/>
        <w:rPr>
          <w:lang w:eastAsia="pl-PL"/>
        </w:rPr>
      </w:pPr>
    </w:p>
    <w:tbl>
      <w:tblPr>
        <w:tblStyle w:val="Jasnasiatkaakcent2"/>
        <w:tblW w:w="0" w:type="auto"/>
        <w:tblInd w:w="7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21"/>
        <w:gridCol w:w="4347"/>
      </w:tblGrid>
      <w:tr w:rsidR="002D6C1B" w:rsidTr="00FD2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shd w:val="clear" w:color="auto" w:fill="FFF084" w:themeFill="accent2" w:themeFillTint="66"/>
          </w:tcPr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E6C0E">
              <w:rPr>
                <w:rFonts w:asciiTheme="minorHAnsi" w:hAnsiTheme="minorHAnsi" w:cstheme="minorHAnsi"/>
                <w:lang w:eastAsia="pl-PL"/>
              </w:rPr>
              <w:t>Mocne strony</w:t>
            </w:r>
          </w:p>
        </w:tc>
        <w:tc>
          <w:tcPr>
            <w:tcW w:w="5172" w:type="dxa"/>
            <w:shd w:val="clear" w:color="auto" w:fill="FFF084" w:themeFill="accent2" w:themeFillTint="66"/>
          </w:tcPr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AE6C0E">
              <w:rPr>
                <w:rFonts w:asciiTheme="minorHAnsi" w:hAnsiTheme="minorHAnsi" w:cstheme="minorHAnsi"/>
                <w:lang w:eastAsia="pl-PL"/>
              </w:rPr>
              <w:t>Słabe strony</w:t>
            </w:r>
          </w:p>
        </w:tc>
      </w:tr>
      <w:tr w:rsidR="002D6C1B" w:rsidTr="00FD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shd w:val="clear" w:color="auto" w:fill="FFF7C1" w:themeFill="accent2" w:themeFillTint="33"/>
          </w:tcPr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Czyste i cenne przyrodniczo środowisko naturalne z bogactwem obszarów chronionych i czystych wód sprzyjających rozwojowi turystyki i agroturystyki oraz produkcji wysokiej jakości żywności;</w:t>
            </w:r>
          </w:p>
          <w:p w:rsidR="00BE6288" w:rsidRPr="00103C73" w:rsidRDefault="00BE6288" w:rsidP="00BE6288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W każdej z Gmin tworzących LGD występuje przynajmniej jedna z form ochrony przyrody, takich jak: </w:t>
            </w:r>
            <w:r w:rsidRPr="00BE6288">
              <w:rPr>
                <w:rFonts w:asciiTheme="minorHAnsi" w:hAnsiTheme="minorHAnsi" w:cstheme="minorHAnsi"/>
                <w:b w:val="0"/>
              </w:rPr>
              <w:t>park narodowy lub jego otulina, park krajobrazowy lub jego otulina, rezerwat przyrody lub jego otulina, obszar chronionego Krajobrazu, obszar Natura 2000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 xml:space="preserve">Zabytkowa architektura </w:t>
            </w:r>
            <w:r>
              <w:rPr>
                <w:rFonts w:asciiTheme="minorHAnsi" w:hAnsiTheme="minorHAnsi" w:cstheme="minorHAnsi"/>
                <w:b w:val="0"/>
              </w:rPr>
              <w:t>i interesujące obiekty dziedzictwa kulturowego stanowiące</w:t>
            </w:r>
            <w:r w:rsidRPr="00103C73">
              <w:rPr>
                <w:rFonts w:asciiTheme="minorHAnsi" w:hAnsiTheme="minorHAnsi" w:cstheme="minorHAnsi"/>
                <w:b w:val="0"/>
              </w:rPr>
              <w:t xml:space="preserve"> o potencjale kulturowym i turystycznym obszaru LGD;</w:t>
            </w:r>
          </w:p>
          <w:p w:rsidR="002D6C1B" w:rsidRPr="00C4069A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Duża liczba organizacji pozarządowych, działalność liderów lokalnych;</w:t>
            </w:r>
          </w:p>
          <w:p w:rsidR="002D6C1B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Bogata oferta kulturalna w centrum LGD (miasto powiatowe Opole Lubelskie);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Liczne szlaki turystyczne;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A04F0D">
              <w:rPr>
                <w:rFonts w:asciiTheme="minorHAnsi" w:hAnsiTheme="minorHAnsi" w:cstheme="minorHAnsi"/>
                <w:b w:val="0"/>
              </w:rPr>
              <w:t>Duża liczba cieków i zbiorników wodnych oraz obszarów akwakultury o dużej atrakcyjności przyrodniczej i rekreacyjnej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Nadwiślańska Kolejka Wąskotorowa, jako ponadlokalny produkt turystyczny;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Wzrost świadomości mieszkańców w </w:t>
            </w:r>
            <w:r>
              <w:rPr>
                <w:rFonts w:asciiTheme="minorHAnsi" w:hAnsiTheme="minorHAnsi" w:cstheme="minorHAnsi"/>
                <w:b w:val="0"/>
              </w:rPr>
              <w:lastRenderedPageBreak/>
              <w:t xml:space="preserve">zakresie </w:t>
            </w:r>
            <w:r w:rsidRPr="00C4069A">
              <w:rPr>
                <w:rFonts w:asciiTheme="minorHAnsi" w:hAnsiTheme="minorHAnsi" w:cstheme="minorHAnsi"/>
                <w:b w:val="0"/>
              </w:rPr>
              <w:t>wykorzystania turystyki i produktów lokalnych jako dodatkowego źródła dochodu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Rozwinięty sektor rzemiosła i drobnej wytwórczości;</w:t>
            </w:r>
          </w:p>
          <w:p w:rsidR="002D6C1B" w:rsidRPr="00103C73" w:rsidRDefault="002D6C1B" w:rsidP="00FD2B2D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Brak dużych ośrodków przemysłowych wpływających negatywnie na czystość środowiska i na krajobraz dźwiękowy;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Bliskość dużego rynku zbytu Lublina i aglomeracji Lubelskiej;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Rolniczy charakter gmin LGD o dużym potencjale produkcyjnym, skierowanym na</w:t>
            </w:r>
            <w:r>
              <w:rPr>
                <w:rFonts w:asciiTheme="minorHAnsi" w:hAnsiTheme="minorHAnsi" w:cstheme="minorHAnsi"/>
                <w:b w:val="0"/>
              </w:rPr>
              <w:t xml:space="preserve"> przemysł rolno-spożywczy i przetwórstwo owocowo-warzywne</w:t>
            </w:r>
            <w:r w:rsidRPr="00103C73"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Dobrej klasy gleby i rozwinięte rolnictwo oparte na wiedzy i doświadczeniu lokalnych rolników;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Korzystne warunki do rozwoju upraw plantacji sadowniczych i chmielarskich;</w:t>
            </w:r>
          </w:p>
          <w:p w:rsidR="002D6C1B" w:rsidRPr="00647540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647540">
              <w:rPr>
                <w:rFonts w:asciiTheme="minorHAnsi" w:hAnsiTheme="minorHAnsi" w:cstheme="minorHAnsi"/>
                <w:b w:val="0"/>
              </w:rPr>
              <w:t>Dobre warunki do wykorzystania energii słonecznej i biomasy;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Rozwój produkcji, hodowli, pszczelarstwa i przetwórstwa płodów rolnych, owoców i warzyw oraz rozwinięty sektor rybacki;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Coraz szerzej wykorzystywany potencjał lokalnych produktów rybnych;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Korzystne położenie komunikacyjne w województwie – przebieg ważnych dróg wojewódzkich, dobre połączenie z Lublinem;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Funkcjonowanie aktywnych grup mieszkańców;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Integracja społeczna – organizacja masowych imprez;</w:t>
            </w:r>
          </w:p>
          <w:p w:rsidR="002D6C1B" w:rsidRPr="00C4069A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Wysoka liczba podmiotów gospodarczych sektora prywatnego;</w:t>
            </w:r>
          </w:p>
          <w:p w:rsidR="002D6C1B" w:rsidRPr="00C4069A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C4069A">
              <w:rPr>
                <w:rFonts w:asciiTheme="minorHAnsi" w:hAnsiTheme="minorHAnsi" w:cstheme="minorHAnsi"/>
                <w:b w:val="0"/>
              </w:rPr>
              <w:t>Dobrze rozwinięta infrastruktura wodociągowa, telekomunikacyjna, energetyczna</w:t>
            </w:r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5172" w:type="dxa"/>
            <w:shd w:val="clear" w:color="auto" w:fill="FFF7C1" w:themeFill="accent2" w:themeFillTint="33"/>
          </w:tcPr>
          <w:p w:rsidR="002D6C1B" w:rsidRPr="00647BC7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C7">
              <w:lastRenderedPageBreak/>
              <w:t>Rozdrobnienie gospodarstw rolnych;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C7">
              <w:t>Mała ilość gospodarstw agroturystycznych;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C4069A">
              <w:t>Niedostateczna baza noclegowa i gastronomiczna w miejscach posiadających walory przyrodnicze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Brak zintegrowanego systemu informacji turystycznej i ponadlokalnego punktu informacji turystycznej;</w:t>
            </w:r>
          </w:p>
          <w:p w:rsidR="002D6C1B" w:rsidRDefault="002D6C1B" w:rsidP="002D6C1B">
            <w:pPr>
              <w:pStyle w:val="wypunktowanie"/>
              <w:ind w:left="282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Niedostateczna wiedza i kompetencje osób związanych z branżą rybacką do wprowadzania innowacyjnych rozwiązań w hodowli ryb oraz prowadzenia działalności okołorybackiej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Starzejące się społeczeństwo i odpływ ludności (migracje);</w:t>
            </w:r>
          </w:p>
          <w:p w:rsidR="00BE6288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Dość wysoki wskaźnik obciążenia demograficznego;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Emigracja wykształconej młodzieży – migracje zarobkowe; 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Trudności w zdobywaniu doświadczenia na rynku pracy przez ludzi młodych (niewystarczająca oferta staży, praktyk, kursów);</w:t>
            </w:r>
          </w:p>
          <w:p w:rsidR="002D6C1B" w:rsidRPr="00BE6288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4069A">
              <w:rPr>
                <w:rFonts w:cstheme="minorHAnsi"/>
                <w:color w:val="000000"/>
              </w:rPr>
              <w:t>Brak dobrych praktyk ukazujących powiązania: nauka, praktyka, biznes;</w:t>
            </w:r>
          </w:p>
          <w:p w:rsidR="00BE6288" w:rsidRPr="00C4069A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5 z 7 Gmin tworzących LGD znajduje się na liście gmin zagrożonych trwałą marginalizacją. Lista ta została wskazana w </w:t>
            </w:r>
            <w:r>
              <w:rPr>
                <w:rFonts w:cstheme="minorHAnsi"/>
                <w:color w:val="000000"/>
              </w:rPr>
              <w:lastRenderedPageBreak/>
              <w:t>dokumencie krajowym;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Wysoka stopa bezrobocia i zjawisko ukrytego bezrobocia, sezonowość zatrudnienia;</w:t>
            </w:r>
          </w:p>
          <w:p w:rsidR="00BE6288" w:rsidRDefault="00BE628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Duży udział ludności korzystającej ze środowiskowej pomocy społecznej;</w:t>
            </w:r>
          </w:p>
          <w:p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Słabo rozwinięta działalność pozarolnicza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Brak instytucji otoczenia biznesu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6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069A">
              <w:t>Utrudniony start kobiet w wieku 30+ chcących wejść na rynek pracy po urodzeniu dziecka lub kobiet niewykształconych albo posiadających wykształcenie niezgodne z potrzebami rynku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Niewystarczające dostosowanie przestrzeni publicznych do potrzeb osób z niepełnosprawnościami;</w:t>
            </w:r>
          </w:p>
          <w:p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Niewystarczająca liczba działań zmierzających do aktywizacji osób niepełnosprawnych oraz z niepełnosprawnościami, zwłaszcza na terenach wiejskich;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Niewielki stopień gazyfikacji obszaru;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  <w:lang w:eastAsia="pl-PL"/>
              </w:rPr>
              <w:t xml:space="preserve">Słaby stan techniczny dróg, </w:t>
            </w:r>
            <w:r w:rsidRPr="00585B80">
              <w:rPr>
                <w:rFonts w:cstheme="minorHAnsi"/>
                <w:color w:val="000000"/>
              </w:rPr>
              <w:t>słabe skomunikowanie małych miejscowości pod względem ilości i jakości połączeń powodujące wykluczenie z życia społecznego i kulturowego ich mieszkańców</w:t>
            </w:r>
            <w:r>
              <w:rPr>
                <w:rFonts w:cstheme="minorHAnsi"/>
                <w:color w:val="000000"/>
              </w:rPr>
              <w:t xml:space="preserve"> – wykluczenie komunikacyjne</w:t>
            </w:r>
            <w:r w:rsidRPr="00585B80">
              <w:rPr>
                <w:rFonts w:cstheme="minorHAnsi"/>
                <w:color w:val="000000"/>
              </w:rPr>
              <w:t>;</w:t>
            </w:r>
          </w:p>
          <w:p w:rsidR="002D6C1B" w:rsidRPr="00BE3858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C4069A">
              <w:rPr>
                <w:rFonts w:cstheme="minorHAnsi"/>
                <w:color w:val="000000"/>
              </w:rPr>
              <w:t>Niedoinwestowana infrastruktura kulturalna i społeczna zwłaszcza na terenie małych miejscowości;</w:t>
            </w:r>
          </w:p>
          <w:p w:rsidR="00BE3858" w:rsidRPr="00585B80" w:rsidRDefault="00BE3858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color w:val="000000"/>
              </w:rPr>
              <w:t>Niewystarczająca oferta wydarzeń kulturalnych na obszarach wiejskich;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  <w:color w:val="000000"/>
              </w:rPr>
              <w:t>Niedostateczna ilość miejsc i przedsięwzięć sprzyjających integracji i aktywizacji seniorów</w:t>
            </w:r>
            <w:r>
              <w:rPr>
                <w:rFonts w:cstheme="minorHAnsi"/>
                <w:color w:val="000000"/>
              </w:rPr>
              <w:t xml:space="preserve"> oraz ludzi młodych</w:t>
            </w:r>
            <w:r w:rsidRPr="00585B80">
              <w:rPr>
                <w:rFonts w:cstheme="minorHAnsi"/>
                <w:color w:val="000000"/>
              </w:rPr>
              <w:t>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647540">
              <w:rPr>
                <w:rFonts w:cstheme="minorHAnsi"/>
                <w:lang w:eastAsia="pl-PL"/>
              </w:rPr>
              <w:t>Brak rozwiązań przeciwdziałających zmianom klimatycznym, klęskom żywiołowym (susze, powodzie) i szkodliwej działalności człowieka</w:t>
            </w:r>
            <w:r>
              <w:rPr>
                <w:rFonts w:cstheme="minorHAnsi"/>
                <w:lang w:eastAsia="pl-PL"/>
              </w:rPr>
              <w:t>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Nierozwinięte formy ekonomii społecznej;</w:t>
            </w:r>
          </w:p>
          <w:p w:rsidR="002D6C1B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Występowanie obszarów o wysokim zagrożeniu powodziowym i występowania podtopień;</w:t>
            </w:r>
          </w:p>
          <w:p w:rsidR="002D6C1B" w:rsidRPr="00585B80" w:rsidRDefault="002D6C1B" w:rsidP="002D6C1B">
            <w:pPr>
              <w:pStyle w:val="wypunktowanie"/>
              <w:ind w:left="248" w:hanging="2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  <w:r w:rsidRPr="00585B80">
              <w:rPr>
                <w:rFonts w:cstheme="minorHAnsi"/>
              </w:rPr>
              <w:t>Negatywne społeczne i gospodarcze skutki pandemii COVID.</w:t>
            </w:r>
          </w:p>
        </w:tc>
      </w:tr>
      <w:tr w:rsidR="002D6C1B" w:rsidTr="00FD2B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bottom w:val="single" w:sz="18" w:space="0" w:color="CCB400" w:themeColor="accent2"/>
            </w:tcBorders>
            <w:shd w:val="clear" w:color="auto" w:fill="FFF084" w:themeFill="accent2" w:themeFillTint="66"/>
          </w:tcPr>
          <w:p w:rsidR="002D6C1B" w:rsidRPr="00103C73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03C73">
              <w:rPr>
                <w:rFonts w:asciiTheme="minorHAnsi" w:hAnsiTheme="minorHAnsi" w:cstheme="minorHAnsi"/>
                <w:lang w:eastAsia="pl-PL"/>
              </w:rPr>
              <w:lastRenderedPageBreak/>
              <w:t>Szanse</w:t>
            </w:r>
          </w:p>
        </w:tc>
        <w:tc>
          <w:tcPr>
            <w:tcW w:w="5172" w:type="dxa"/>
            <w:tcBorders>
              <w:bottom w:val="single" w:sz="18" w:space="0" w:color="CCB400" w:themeColor="accent2"/>
            </w:tcBorders>
            <w:shd w:val="clear" w:color="auto" w:fill="FFF084" w:themeFill="accent2" w:themeFillTint="66"/>
          </w:tcPr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eastAsia="pl-PL"/>
              </w:rPr>
            </w:pPr>
            <w:r w:rsidRPr="00AE6C0E">
              <w:rPr>
                <w:rFonts w:cstheme="minorHAnsi"/>
                <w:b/>
                <w:lang w:eastAsia="pl-PL"/>
              </w:rPr>
              <w:t>Zagrożenia</w:t>
            </w:r>
          </w:p>
        </w:tc>
      </w:tr>
      <w:tr w:rsidR="002D6C1B" w:rsidTr="00FD2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2" w:type="dxa"/>
            <w:tcBorders>
              <w:top w:val="single" w:sz="18" w:space="0" w:color="CCB400" w:themeColor="accent2"/>
            </w:tcBorders>
            <w:shd w:val="clear" w:color="auto" w:fill="FFF7C1" w:themeFill="accent2" w:themeFillTint="33"/>
          </w:tcPr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Rozwój turystyki</w:t>
            </w:r>
            <w:r>
              <w:rPr>
                <w:rFonts w:asciiTheme="minorHAnsi" w:hAnsiTheme="minorHAnsi" w:cstheme="minorHAnsi"/>
                <w:b w:val="0"/>
              </w:rPr>
              <w:t>, w tym turystyki weekendowej</w:t>
            </w:r>
            <w:r w:rsidRPr="00103C73">
              <w:rPr>
                <w:rFonts w:asciiTheme="minorHAnsi" w:hAnsiTheme="minorHAnsi" w:cstheme="minorHAnsi"/>
                <w:b w:val="0"/>
              </w:rPr>
              <w:t xml:space="preserve"> i agroturystyki i </w:t>
            </w:r>
            <w:r w:rsidRPr="00103C73">
              <w:rPr>
                <w:rFonts w:asciiTheme="minorHAnsi" w:hAnsiTheme="minorHAnsi" w:cstheme="minorHAnsi"/>
                <w:b w:val="0"/>
              </w:rPr>
              <w:lastRenderedPageBreak/>
              <w:t>zwiększający się popyt na tego rodzaju usługi;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BD5194">
              <w:rPr>
                <w:rFonts w:asciiTheme="minorHAnsi" w:hAnsiTheme="minorHAnsi" w:cstheme="minorHAnsi"/>
                <w:b w:val="0"/>
              </w:rPr>
              <w:t>Zainteresowanie społeczeństwa edukacją regionalną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BD5194">
              <w:rPr>
                <w:rFonts w:asciiTheme="minorHAnsi" w:hAnsiTheme="minorHAnsi" w:cstheme="minorHAnsi"/>
                <w:b w:val="0"/>
              </w:rPr>
              <w:t>Rosnące w Polsce zainteresowanie wykorzystywaniem swoich atutów i zasobów</w:t>
            </w:r>
            <w:r>
              <w:rPr>
                <w:rFonts w:asciiTheme="minorHAnsi" w:hAnsiTheme="minorHAnsi" w:cstheme="minorHAnsi"/>
                <w:b w:val="0"/>
              </w:rPr>
              <w:t xml:space="preserve"> regionu w rozwoju gospodarczym;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Bliskość Trójkąta Turystycznego: Kazimierz Dolny, Puławy, Nałęczów;</w:t>
            </w:r>
          </w:p>
          <w:p w:rsidR="002D6C1B" w:rsidRPr="004C07B2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  <w:sz w:val="24"/>
              </w:rPr>
            </w:pPr>
            <w:r w:rsidRPr="004C07B2">
              <w:rPr>
                <w:rFonts w:asciiTheme="minorHAnsi" w:hAnsiTheme="minorHAnsi" w:cstheme="minorHAnsi"/>
                <w:b w:val="0"/>
                <w:szCs w:val="20"/>
              </w:rPr>
              <w:t>Rozwój produktu turystycznego oraz branży turystycznej w oparciu o bogate dziedzictwo kulturowe;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Narastające zapotrzebowanie społeczeństwa aglomeracji lubelskiej na aktywne formy spędzania wolnego czasu;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Wzrastający popyt na zdrowy styl życia i zdrowe odżywianie w oparciu o ekologiczne płody rolne i ryby;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103C73">
              <w:rPr>
                <w:rFonts w:asciiTheme="minorHAnsi" w:hAnsiTheme="minorHAnsi" w:cstheme="minorHAnsi"/>
                <w:b w:val="0"/>
              </w:rPr>
              <w:t>Prawodawstwo UE sprzyjające zachowaniu i ochronie środowiska przyrodniczo-kulturowego;</w:t>
            </w:r>
          </w:p>
          <w:p w:rsidR="002D6C1B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Możliwość wykorzystania środków z UE;</w:t>
            </w:r>
          </w:p>
          <w:p w:rsidR="002D6C1B" w:rsidRDefault="002D6C1B" w:rsidP="002D6C1B">
            <w:pPr>
              <w:pStyle w:val="wypunktowanie"/>
              <w:ind w:left="273" w:hanging="284"/>
              <w:rPr>
                <w:rFonts w:asciiTheme="minorHAnsi" w:hAnsiTheme="minorHAnsi" w:cstheme="minorHAnsi"/>
                <w:b w:val="0"/>
              </w:rPr>
            </w:pPr>
            <w:r w:rsidRPr="002B5357">
              <w:rPr>
                <w:rFonts w:asciiTheme="minorHAnsi" w:hAnsiTheme="minorHAnsi" w:cstheme="minorHAnsi"/>
                <w:b w:val="0"/>
              </w:rPr>
              <w:t>Współpraca podmiotów w zakresie budowania łańcucha dostaw od producenta do konsumenta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  <w:p w:rsidR="002D6C1B" w:rsidRPr="00103C73" w:rsidRDefault="002D6C1B" w:rsidP="002D6C1B">
            <w:pPr>
              <w:pStyle w:val="wypunktowanie"/>
              <w:ind w:left="273" w:hanging="273"/>
              <w:rPr>
                <w:rFonts w:asciiTheme="minorHAnsi" w:hAnsiTheme="minorHAnsi" w:cstheme="minorHAnsi"/>
                <w:b w:val="0"/>
              </w:rPr>
            </w:pPr>
            <w:r w:rsidRPr="00585B80">
              <w:rPr>
                <w:rFonts w:asciiTheme="minorHAnsi" w:hAnsiTheme="minorHAnsi" w:cstheme="minorHAnsi"/>
                <w:b w:val="0"/>
              </w:rPr>
              <w:t xml:space="preserve">Przyciągnięcie </w:t>
            </w:r>
            <w:r>
              <w:rPr>
                <w:rFonts w:asciiTheme="minorHAnsi" w:hAnsiTheme="minorHAnsi" w:cstheme="minorHAnsi"/>
                <w:b w:val="0"/>
              </w:rPr>
              <w:t>na teren LGD</w:t>
            </w:r>
            <w:r w:rsidRPr="00585B80">
              <w:rPr>
                <w:rFonts w:asciiTheme="minorHAnsi" w:hAnsiTheme="minorHAnsi" w:cstheme="minorHAnsi"/>
                <w:b w:val="0"/>
              </w:rPr>
              <w:t xml:space="preserve"> inwestycji z zewnątrz w tym firm zajmujących się przetwórstwem rolno-spożywczym m.in. poprzez wyznaczenie terenów inwestycyjnych oraz realizację polityki promocji gospodarczej</w:t>
            </w:r>
            <w:r>
              <w:rPr>
                <w:rFonts w:asciiTheme="minorHAnsi" w:hAnsiTheme="minorHAnsi" w:cstheme="minorHAnsi"/>
                <w:b w:val="0"/>
              </w:rPr>
              <w:t>;</w:t>
            </w:r>
          </w:p>
        </w:tc>
        <w:tc>
          <w:tcPr>
            <w:tcW w:w="5172" w:type="dxa"/>
            <w:tcBorders>
              <w:top w:val="single" w:sz="18" w:space="0" w:color="CCB400" w:themeColor="accent2"/>
            </w:tcBorders>
            <w:shd w:val="clear" w:color="auto" w:fill="FFF7C1" w:themeFill="accent2" w:themeFillTint="33"/>
          </w:tcPr>
          <w:p w:rsidR="002D6C1B" w:rsidRPr="00103C73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lastRenderedPageBreak/>
              <w:t>Bliskość przemysłu chemicznego – zakłady azotowe w Puławach;</w:t>
            </w:r>
          </w:p>
          <w:p w:rsidR="002D6C1B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lastRenderedPageBreak/>
              <w:t>Kryzys w polskim rolnictwie i brak dobrej polityki rolnej</w:t>
            </w:r>
            <w:r>
              <w:t>, niska dochodowość</w:t>
            </w:r>
            <w:r w:rsidRPr="00103C73">
              <w:t xml:space="preserve"> produkcji rolnej w małych gospodarstwach rolnych</w:t>
            </w:r>
            <w:r w:rsidRPr="00585B80">
              <w:rPr>
                <w:sz w:val="24"/>
              </w:rPr>
              <w:t xml:space="preserve"> </w:t>
            </w:r>
            <w:r w:rsidRPr="00585B80">
              <w:rPr>
                <w:szCs w:val="20"/>
              </w:rPr>
              <w:t>i konkurencja dla lokalnych rolników ze strony zagranicznych producentów żywności</w:t>
            </w:r>
            <w:r w:rsidRPr="00585B80">
              <w:rPr>
                <w:sz w:val="24"/>
              </w:rPr>
              <w:t>;</w:t>
            </w:r>
          </w:p>
          <w:p w:rsidR="002D6C1B" w:rsidRDefault="002D6C1B" w:rsidP="002D6C1B">
            <w:pPr>
              <w:pStyle w:val="wypunktowanie"/>
              <w:ind w:left="265" w:hanging="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5194">
              <w:t>Konieczność sprostania rygorystycznym wymogom produkcji żywności i świadczenia usług gastronomicznych</w:t>
            </w:r>
            <w:r>
              <w:t>;</w:t>
            </w:r>
          </w:p>
          <w:p w:rsidR="002D6C1B" w:rsidRPr="00103C73" w:rsidRDefault="002D6C1B" w:rsidP="002D6C1B">
            <w:pPr>
              <w:pStyle w:val="wypunktowanie"/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Wysokie wymagania formalno-</w:t>
            </w:r>
            <w:r w:rsidRPr="00BD5194">
              <w:t>prawne związane z prowadzeniem działalności gospodarczej związane z sektorem przetwórstwa i rybactwa</w:t>
            </w:r>
            <w:r>
              <w:t>;</w:t>
            </w:r>
          </w:p>
          <w:p w:rsidR="002D6C1B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C73">
              <w:t>Wzrost liczby zdarzeń ekstremalnych związanych ze zmianami klimatu – susze, powodzie, podtopienia, długotrwałe opady, trąby powietrzne;</w:t>
            </w:r>
          </w:p>
          <w:p w:rsidR="002D6C1B" w:rsidRPr="00585B80" w:rsidRDefault="002D6C1B" w:rsidP="002D6C1B">
            <w:pPr>
              <w:pStyle w:val="wypunktowanie"/>
              <w:ind w:left="250" w:hanging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Następujące zmiany klimatyczne mające wpływ na wiele sektorów gospodarki i społeczeństwo poprzez oddziaływanie na fizyczne i biologiczne składniki ekosystemów, takie jak: woda, gleba, powietrze i różnorodność biologiczne. Nieliczne działania inwestycyjne w tym względzie świadczą o niewystarczającej liczbie inwestycji przeciwdziałających zmianom klimatu i działań skierowanych na adaptacje do zaistniałych już zmian.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Postępujący zanik lokalnych tradycji i tożsamości, </w:t>
            </w:r>
            <w:r w:rsidRPr="005E4827">
              <w:rPr>
                <w:rFonts w:cstheme="minorHAnsi"/>
              </w:rPr>
              <w:t>l</w:t>
            </w:r>
            <w:r w:rsidRPr="005E4827">
              <w:rPr>
                <w:rFonts w:cstheme="minorHAnsi"/>
                <w:color w:val="000000"/>
              </w:rPr>
              <w:t>iberalizacja obyczajów i osłabienie tożsamości lokalnej wśród młodzieży;</w:t>
            </w:r>
          </w:p>
          <w:p w:rsidR="002D6C1B" w:rsidRDefault="002D6C1B" w:rsidP="002D6C1B">
            <w:pPr>
              <w:pStyle w:val="wypunktowanie"/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5B80">
              <w:t>Wywoływanie konfliktów między wartościami dziedzictwa kulturowego, krajobrazem kulturowym, a współczesnymi procesami urbanistycznymi;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Niski poziom rozwoju gospodarczego powiatu;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Zjawisko wyludniania się obszarów wiejskich i małych miast w skutek ujemnego przyrostu naturalnego oraz emigracji ludzi młodych do większych miast;</w:t>
            </w:r>
          </w:p>
          <w:p w:rsidR="002D6C1B" w:rsidRPr="00585B80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Kurczące się zasoby pracy związane z odchodzeniem wielu doświadczonych pracowników na emeryturę, bez możliwości zastąpienia ich nowymi pracownikami (na skutek utrzymującej się migracji młodych ludzi, procesem starzenia się społeczeństwa);</w:t>
            </w:r>
          </w:p>
          <w:p w:rsidR="002D6C1B" w:rsidRDefault="002D6C1B" w:rsidP="002D6C1B">
            <w:pPr>
              <w:pStyle w:val="wypunktowanie"/>
              <w:ind w:left="277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Pogłębiające się zjawiska wykluczenia </w:t>
            </w:r>
            <w:r>
              <w:lastRenderedPageBreak/>
              <w:t>społecznego (związek z brakiem zatrudnienia, ubóstwem, trudnościami z zapewnieniem opieki społecznej i medycznej osobom starszym);</w:t>
            </w:r>
          </w:p>
          <w:p w:rsidR="002D6C1B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827">
              <w:t>Napływ taniej siły roboczej z zagranicy</w:t>
            </w:r>
            <w:r>
              <w:t>;</w:t>
            </w:r>
          </w:p>
          <w:p w:rsidR="002D6C1B" w:rsidRPr="00585B80" w:rsidRDefault="002D6C1B" w:rsidP="002D6C1B">
            <w:pPr>
              <w:pStyle w:val="wypunktowanie"/>
              <w:ind w:left="242" w:hanging="2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5B80">
              <w:rPr>
                <w:szCs w:val="20"/>
              </w:rPr>
              <w:t>Niepewność w zakresie prowadzenia polityki fiskalnej samorządów, wynikająca ze zmieniających się regulacji prawnych (m.in. wzrastające wydatki na oświatę oraz administrację publiczną);</w:t>
            </w:r>
          </w:p>
          <w:p w:rsidR="002D6C1B" w:rsidRPr="00AE6C0E" w:rsidRDefault="002D6C1B" w:rsidP="00FD2B2D">
            <w:pPr>
              <w:pStyle w:val="wypunktowani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pl-PL"/>
              </w:rPr>
            </w:pPr>
          </w:p>
        </w:tc>
      </w:tr>
    </w:tbl>
    <w:p w:rsidR="00953BB1" w:rsidRDefault="00953BB1"/>
    <w:sectPr w:rsidR="00953B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7C" w:rsidRDefault="00E57D7C" w:rsidP="00E974BD">
      <w:pPr>
        <w:spacing w:after="0" w:line="240" w:lineRule="auto"/>
      </w:pPr>
      <w:r>
        <w:separator/>
      </w:r>
    </w:p>
  </w:endnote>
  <w:endnote w:type="continuationSeparator" w:id="0">
    <w:p w:rsidR="00E57D7C" w:rsidRDefault="00E57D7C" w:rsidP="00E9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27544"/>
      <w:docPartObj>
        <w:docPartGallery w:val="Page Numbers (Bottom of Page)"/>
        <w:docPartUnique/>
      </w:docPartObj>
    </w:sdtPr>
    <w:sdtEndPr/>
    <w:sdtContent>
      <w:p w:rsidR="00E974BD" w:rsidRDefault="00E974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04F">
          <w:rPr>
            <w:noProof/>
          </w:rPr>
          <w:t>2</w:t>
        </w:r>
        <w:r>
          <w:fldChar w:fldCharType="end"/>
        </w:r>
      </w:p>
    </w:sdtContent>
  </w:sdt>
  <w:p w:rsidR="00E974BD" w:rsidRDefault="00E974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7C" w:rsidRDefault="00E57D7C" w:rsidP="00E974BD">
      <w:pPr>
        <w:spacing w:after="0" w:line="240" w:lineRule="auto"/>
      </w:pPr>
      <w:r>
        <w:separator/>
      </w:r>
    </w:p>
  </w:footnote>
  <w:footnote w:type="continuationSeparator" w:id="0">
    <w:p w:rsidR="00E57D7C" w:rsidRDefault="00E57D7C" w:rsidP="00E9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2BD"/>
    <w:multiLevelType w:val="hybridMultilevel"/>
    <w:tmpl w:val="7E88C640"/>
    <w:lvl w:ilvl="0" w:tplc="E700A01C">
      <w:start w:val="1"/>
      <w:numFmt w:val="bullet"/>
      <w:pStyle w:val="wypunktowanie"/>
      <w:lvlText w:val=""/>
      <w:lvlJc w:val="left"/>
      <w:pPr>
        <w:ind w:left="720" w:hanging="360"/>
      </w:pPr>
      <w:rPr>
        <w:rFonts w:ascii="Symbol" w:hAnsi="Symbol" w:hint="default"/>
        <w:color w:val="A8422A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B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6C1B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04F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5871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3858"/>
    <w:rsid w:val="00BE46C2"/>
    <w:rsid w:val="00BE53F9"/>
    <w:rsid w:val="00BE5D91"/>
    <w:rsid w:val="00BE5EE2"/>
    <w:rsid w:val="00BE6288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7C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974BD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1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2D6C1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paragraph" w:customStyle="1" w:styleId="wypunktowanie">
    <w:name w:val="wypunktowanie"/>
    <w:basedOn w:val="Akapitzlist"/>
    <w:link w:val="wypunktowanieZnak"/>
    <w:qFormat/>
    <w:rsid w:val="002D6C1B"/>
    <w:pPr>
      <w:numPr>
        <w:numId w:val="1"/>
      </w:numPr>
      <w:spacing w:after="0"/>
    </w:pPr>
  </w:style>
  <w:style w:type="character" w:customStyle="1" w:styleId="wypunktowanieZnak">
    <w:name w:val="wypunktowanie Znak"/>
    <w:basedOn w:val="Domylnaczcionkaakapitu"/>
    <w:link w:val="wypunktowanie"/>
    <w:rsid w:val="002D6C1B"/>
  </w:style>
  <w:style w:type="paragraph" w:styleId="Akapitzlist">
    <w:name w:val="List Paragraph"/>
    <w:basedOn w:val="Normalny"/>
    <w:uiPriority w:val="34"/>
    <w:qFormat/>
    <w:rsid w:val="002D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BD"/>
  </w:style>
  <w:style w:type="paragraph" w:styleId="Stopka">
    <w:name w:val="footer"/>
    <w:basedOn w:val="Normalny"/>
    <w:link w:val="Stopka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1B"/>
    <w:pPr>
      <w:spacing w:after="1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2D6C1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paragraph" w:customStyle="1" w:styleId="wypunktowanie">
    <w:name w:val="wypunktowanie"/>
    <w:basedOn w:val="Akapitzlist"/>
    <w:link w:val="wypunktowanieZnak"/>
    <w:qFormat/>
    <w:rsid w:val="002D6C1B"/>
    <w:pPr>
      <w:numPr>
        <w:numId w:val="1"/>
      </w:numPr>
      <w:spacing w:after="0"/>
    </w:pPr>
  </w:style>
  <w:style w:type="character" w:customStyle="1" w:styleId="wypunktowanieZnak">
    <w:name w:val="wypunktowanie Znak"/>
    <w:basedOn w:val="Domylnaczcionkaakapitu"/>
    <w:link w:val="wypunktowanie"/>
    <w:rsid w:val="002D6C1B"/>
  </w:style>
  <w:style w:type="paragraph" w:styleId="Akapitzlist">
    <w:name w:val="List Paragraph"/>
    <w:basedOn w:val="Normalny"/>
    <w:uiPriority w:val="34"/>
    <w:qFormat/>
    <w:rsid w:val="002D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4BD"/>
  </w:style>
  <w:style w:type="paragraph" w:styleId="Stopka">
    <w:name w:val="footer"/>
    <w:basedOn w:val="Normalny"/>
    <w:link w:val="StopkaZnak"/>
    <w:uiPriority w:val="99"/>
    <w:unhideWhenUsed/>
    <w:rsid w:val="00E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Wiola</cp:lastModifiedBy>
  <cp:revision>2</cp:revision>
  <dcterms:created xsi:type="dcterms:W3CDTF">2023-04-25T07:18:00Z</dcterms:created>
  <dcterms:modified xsi:type="dcterms:W3CDTF">2023-04-25T07:18:00Z</dcterms:modified>
</cp:coreProperties>
</file>